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0D59" w14:textId="77777777" w:rsidR="00917B4A" w:rsidRPr="0002128C" w:rsidRDefault="00917B4A" w:rsidP="00917B4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PRILOG 4C</w:t>
      </w:r>
    </w:p>
    <w:p w14:paraId="574214C7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  <w:bookmarkStart w:id="0" w:name="_Toc120098924"/>
      <w:r w:rsidRPr="0002128C">
        <w:rPr>
          <w:rFonts w:cs="Arial"/>
          <w:color w:val="FFFFFF" w:themeColor="background1"/>
          <w:szCs w:val="20"/>
        </w:rPr>
        <w:t>Prilog 4c - Izjava o tehničkim karakteristikama pristupne mreže</w:t>
      </w:r>
      <w:bookmarkEnd w:id="0"/>
    </w:p>
    <w:p w14:paraId="1D240377" w14:textId="77777777" w:rsidR="00917B4A" w:rsidRPr="0002128C" w:rsidRDefault="00917B4A" w:rsidP="00917B4A">
      <w:pPr>
        <w:spacing w:after="160" w:line="256" w:lineRule="auto"/>
        <w:rPr>
          <w:rFonts w:ascii="Arial" w:hAnsi="Arial" w:cs="Arial"/>
          <w:b/>
          <w:color w:val="FF0000"/>
          <w:sz w:val="20"/>
          <w:szCs w:val="20"/>
        </w:rPr>
      </w:pPr>
      <w:bookmarkStart w:id="1" w:name="_Hlk120098466"/>
    </w:p>
    <w:bookmarkEnd w:id="1"/>
    <w:p w14:paraId="09A5B8A9" w14:textId="77777777" w:rsidR="00917B4A" w:rsidRPr="0002128C" w:rsidRDefault="00917B4A" w:rsidP="00917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02128C">
        <w:rPr>
          <w:rFonts w:ascii="Arial" w:hAnsi="Arial" w:cs="Arial"/>
          <w:b/>
          <w:sz w:val="20"/>
          <w:szCs w:val="20"/>
          <w:lang w:val="en-US"/>
        </w:rPr>
        <w:t>IZJAVA O TEHNIČKIM KARAKTERISTIKAMA PRISTUPNE MREŽE</w:t>
      </w:r>
    </w:p>
    <w:p w14:paraId="35A9E95C" w14:textId="77777777" w:rsidR="00917B4A" w:rsidRPr="0002128C" w:rsidRDefault="00917B4A" w:rsidP="00917B4A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26A5094" w14:textId="77777777" w:rsidR="00917B4A" w:rsidRPr="0002128C" w:rsidRDefault="00917B4A" w:rsidP="00917B4A">
      <w:pPr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KRITERIJ K2: PRISTUPNA MREŽA - 50%</w:t>
      </w:r>
    </w:p>
    <w:p w14:paraId="53A215A8" w14:textId="77777777" w:rsidR="00917B4A" w:rsidRPr="0002128C" w:rsidRDefault="00917B4A" w:rsidP="00917B4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947"/>
        <w:gridCol w:w="1134"/>
      </w:tblGrid>
      <w:tr w:rsidR="00917B4A" w:rsidRPr="0002128C" w14:paraId="3BB311A6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25AA5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Red. broj elementa/stavke kriterija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04C36B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Elementi/stavke kriterija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C9A45A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Vrijednost kriterija</w:t>
            </w:r>
          </w:p>
        </w:tc>
      </w:tr>
      <w:tr w:rsidR="00917B4A" w:rsidRPr="0002128C" w14:paraId="4EA65E5D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D802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A23D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lokacija korisnika s osiguranim fizičkim pristupom IK nepokretnoj mreži pružatelja usluge (optički prijenosni medij)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CC0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8911BFA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65E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5329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lokacija korisnika s (End-to-End) kontrolom i nadzorom prijenosa cijele trase pristupne IK nepokretne mreže pružatelja 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0BA9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2ECF00B0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0788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D1B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Ukupni broj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CC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53684366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21B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A27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3G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E37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6E4FCF9D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7DCA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9124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4G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D4FE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47136215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B4D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9138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5G baznih stanica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E78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49B0651A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A322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3196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baznih stanica na IP protokolu koje pružatelj usluge koristi za pružanje usluga u mobilnoj/pokretnoj mreži na teritoriju DNŽ (vlastite i ugovorom o roamingu s drugim operatorima)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FFD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68DCEF54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6845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E007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pojedinačnih baznih stanica koje pružatelj usluge koristi za pružanje usluga u mobilnoj/pokretnoj mreži na teritoriju DNŽ čiji je izravni pristup realiziran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optičkim prijenosnim medijem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8E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0BDF3E7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54E2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6D77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Broj pojedinačnih baznih stanica koje pružatelj usluge koristi za pružanje usluga u mobilnoj/pokretnoj mreži na teritoriju DNŽ s (End-to-End) kontrolom i nadzorom prijenosa cijele trase pristupne IK pokretne mreže pružatelja usluge (od bazne stanice do centralnog sustava za pružanje mobilnih usluga, a uključuje baznu stanicu + nepokretni dio pristupne mreže bazne stanice do cent. sustava za pružanje usluge)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68BC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48C73C99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A549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961F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magistralnih telekomunikacijskih pravaca koje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koristi za spajanje svog čvorišta u Dubrovniku sa svojim centralnim čvorištem u Hrvatskoj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5DF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54EA5A8C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8DD7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4194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magistralnih telekomunikacijskih pravaca koje pružatelj usluga u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koristi za spajanje svog čvorišta u Dubrovniku sa svojim centralnim čvorištem u Hrvatskoj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A7C0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1D12693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98FB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B32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Maksimalni kapacitet propusnosti (bandwith) kojim raspolaže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 kojim je njegovo čvorište u Dubrovniku spojeno s njegovim centralnim čvorištem u Hrvatskoj (zbroj ukupne propusnosti po svim magistralnim pravcima)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63BD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48FC0A1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91DE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E1E5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Maksimalni kapacitet propusnosti (bandwith) kojim raspolaže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 kojim je njegovo čvorište u Dubrovniku spojeno s njegovim centralnim čvorištem u Hrvatskoj (zbroj ukupne propusnosti po svim magistralnim pravcima)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DC6C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198921EA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861B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45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međunarodnih Internet pružatelja usluge s kojima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ima ugovoreni Internet pristup prema međunarodnim čvorištima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8F09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25F292E5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916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FAF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Broj međunarodnih Internet pružatelja usluge s kojima pružatelj usluga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ima ugovoreni Internet pristup prema međunarodnim čvorištima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EC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8296790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2A3D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833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Ukupni zakupljeni kapacitet pristupa Internetu (bandwith) pružatelja usluge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nepokretnoj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prema međunarodnim čvorištima (zbroj ukupne propusnosti ugovorene sa svim međunarodnim Internet pružateljima usluge)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7E6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7B4A" w:rsidRPr="0002128C" w14:paraId="0102BA24" w14:textId="77777777" w:rsidTr="004846B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AD18" w14:textId="77777777" w:rsidR="00917B4A" w:rsidRPr="0002128C" w:rsidRDefault="00917B4A" w:rsidP="004846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4AE2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 xml:space="preserve">Ukupni zakupljeni kapacitet pristupa Internetu (bandwith) pružatelja usluge </w:t>
            </w:r>
            <w:r w:rsidRPr="0002128C">
              <w:rPr>
                <w:rFonts w:ascii="Arial" w:hAnsi="Arial" w:cs="Arial"/>
                <w:b/>
                <w:sz w:val="20"/>
                <w:szCs w:val="20"/>
              </w:rPr>
              <w:t>u pokretnoj mreži</w:t>
            </w:r>
            <w:r w:rsidRPr="0002128C">
              <w:rPr>
                <w:rFonts w:ascii="Arial" w:hAnsi="Arial" w:cs="Arial"/>
                <w:sz w:val="20"/>
                <w:szCs w:val="20"/>
              </w:rPr>
              <w:t xml:space="preserve"> prema međunarodnim čvorištima (zbroj ukupne propusnosti ugovorene sa svim međunarodnim Internet pružateljima usluge)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9FCA" w14:textId="77777777" w:rsidR="00917B4A" w:rsidRPr="0002128C" w:rsidRDefault="00917B4A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B9B91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327BF520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58779DB2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7FE9A408" w14:textId="77777777" w:rsidR="00917B4A" w:rsidRPr="0002128C" w:rsidRDefault="00917B4A" w:rsidP="00917B4A">
      <w:pPr>
        <w:rPr>
          <w:rFonts w:ascii="Arial" w:hAnsi="Arial" w:cs="Arial"/>
          <w:b/>
          <w:iCs/>
          <w:sz w:val="20"/>
          <w:szCs w:val="20"/>
        </w:rPr>
      </w:pPr>
    </w:p>
    <w:p w14:paraId="4146B61A" w14:textId="77777777" w:rsidR="00917B4A" w:rsidRPr="0002128C" w:rsidRDefault="00917B4A" w:rsidP="00917B4A">
      <w:pPr>
        <w:rPr>
          <w:rFonts w:ascii="Arial" w:hAnsi="Arial" w:cs="Arial"/>
          <w:sz w:val="20"/>
          <w:szCs w:val="20"/>
        </w:rPr>
      </w:pPr>
    </w:p>
    <w:p w14:paraId="50C4CC33" w14:textId="77777777" w:rsidR="00917B4A" w:rsidRPr="0002128C" w:rsidRDefault="00917B4A" w:rsidP="00917B4A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U ____________, dana _________ 2023.     </w:t>
      </w:r>
    </w:p>
    <w:p w14:paraId="28DAA8AE" w14:textId="77777777" w:rsidR="00917B4A" w:rsidRPr="0002128C" w:rsidRDefault="00917B4A" w:rsidP="00917B4A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6785E11E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161A27CC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0475862B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2BA8D6EB" w14:textId="77777777" w:rsidR="00917B4A" w:rsidRPr="0002128C" w:rsidRDefault="00917B4A" w:rsidP="00917B4A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(ime, prezime, funkcija i potpis ovlaštene osobe)</w:t>
      </w:r>
    </w:p>
    <w:p w14:paraId="0749D129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</w:p>
    <w:p w14:paraId="35E9D8ED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</w:p>
    <w:p w14:paraId="6733DD6D" w14:textId="77777777" w:rsidR="00917B4A" w:rsidRPr="0002128C" w:rsidRDefault="00917B4A" w:rsidP="00917B4A">
      <w:pPr>
        <w:pStyle w:val="Heading1"/>
        <w:rPr>
          <w:rFonts w:cs="Arial"/>
          <w:color w:val="FFFFFF" w:themeColor="background1"/>
          <w:szCs w:val="20"/>
        </w:rPr>
      </w:pPr>
    </w:p>
    <w:p w14:paraId="74CD5B41" w14:textId="77777777" w:rsidR="00BC595E" w:rsidRDefault="00BC595E"/>
    <w:sectPr w:rsidR="00BC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DF"/>
    <w:rsid w:val="003207DF"/>
    <w:rsid w:val="00917B4A"/>
    <w:rsid w:val="00B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650FAF-92E0-4BF3-9E3A-F9991450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B4A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4A"/>
    <w:rPr>
      <w:rFonts w:ascii="Arial" w:eastAsia="Times New Roman" w:hAnsi="Arial" w:cs="Times New Roman"/>
      <w:b/>
      <w:bCs/>
      <w:sz w:val="20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2023-03-17T10:26:00Z</dcterms:created>
  <dcterms:modified xsi:type="dcterms:W3CDTF">2023-03-17T10:26:00Z</dcterms:modified>
</cp:coreProperties>
</file>